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/>
          <w:color w:val="000000"/>
          <w:sz w:val="32"/>
          <w:szCs w:val="32"/>
        </w:rPr>
        <w:t>5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ascii="华文中宋" w:hAnsi="华文中宋" w:eastAsia="华文中宋" w:cs="Arial"/>
          <w:b/>
          <w:color w:val="00000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全国第五届大学生艺术展演活动各地报送数量表</w:t>
      </w:r>
    </w:p>
    <w:tbl>
      <w:tblPr>
        <w:tblStyle w:val="6"/>
        <w:tblW w:w="105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73"/>
        <w:gridCol w:w="887"/>
        <w:gridCol w:w="938"/>
        <w:gridCol w:w="816"/>
        <w:gridCol w:w="860"/>
        <w:gridCol w:w="907"/>
        <w:gridCol w:w="951"/>
        <w:gridCol w:w="857"/>
        <w:gridCol w:w="798"/>
        <w:gridCol w:w="992"/>
        <w:gridCol w:w="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高校数</w:t>
            </w:r>
          </w:p>
        </w:tc>
        <w:tc>
          <w:tcPr>
            <w:tcW w:w="3501" w:type="dxa"/>
            <w:gridSpan w:val="4"/>
            <w:tcBorders>
              <w:top w:val="double" w:color="auto" w:sz="6" w:space="0"/>
              <w:left w:val="nil"/>
              <w:bottom w:val="single" w:color="auto" w:sz="8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 w:val="24"/>
              </w:rPr>
              <w:t>报送数量（个、件、个、篇）</w:t>
            </w:r>
          </w:p>
        </w:tc>
        <w:tc>
          <w:tcPr>
            <w:tcW w:w="907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951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高校数</w:t>
            </w:r>
          </w:p>
        </w:tc>
        <w:tc>
          <w:tcPr>
            <w:tcW w:w="3428" w:type="dxa"/>
            <w:gridSpan w:val="4"/>
            <w:tcBorders>
              <w:top w:val="double" w:color="auto" w:sz="6" w:space="0"/>
              <w:left w:val="nil"/>
              <w:bottom w:val="single" w:color="auto" w:sz="8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 w:val="24"/>
              </w:rPr>
              <w:t>报送数量（个、件、个、篇）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1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节目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学生作品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论文</w:t>
            </w:r>
          </w:p>
        </w:tc>
        <w:tc>
          <w:tcPr>
            <w:tcW w:w="907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节目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学生作品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16-20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湖北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24-28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7-8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3-4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湖南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24-28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7-8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河北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20-24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3-4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28-30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山西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广西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内蒙古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3-4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海南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2-4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辽宁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20-24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重庆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吉林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3-4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四川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20-24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黑龙江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16-20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贵州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云南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28-30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2-4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20-24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陕西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16-20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5-6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安徽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20-24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6-7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10-12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甘肃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3-4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16-20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2-4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16-20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2-4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28-30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14-16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8-12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3-4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4-6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河南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129</w:t>
            </w:r>
          </w:p>
        </w:tc>
        <w:tc>
          <w:tcPr>
            <w:tcW w:w="887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24-28</w:t>
            </w:r>
          </w:p>
        </w:tc>
        <w:tc>
          <w:tcPr>
            <w:tcW w:w="938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7-8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12-14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兵团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2-4</w:t>
            </w:r>
          </w:p>
        </w:tc>
        <w:tc>
          <w:tcPr>
            <w:tcW w:w="798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  <w:tc>
          <w:tcPr>
            <w:tcW w:w="781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1-2</w:t>
            </w:r>
          </w:p>
        </w:tc>
      </w:tr>
    </w:tbl>
    <w:p>
      <w:pPr>
        <w:snapToGrid w:val="0"/>
        <w:spacing w:line="340" w:lineRule="exac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注：</w:t>
      </w:r>
      <w:r>
        <w:rPr>
          <w:rFonts w:ascii="仿宋_GB2312" w:hAnsi="仿宋" w:eastAsia="仿宋_GB2312"/>
          <w:color w:val="000000"/>
          <w:sz w:val="24"/>
        </w:rPr>
        <w:t xml:space="preserve">1. </w:t>
      </w:r>
      <w:r>
        <w:rPr>
          <w:rFonts w:hint="eastAsia" w:ascii="仿宋_GB2312" w:hAnsi="仿宋" w:eastAsia="仿宋_GB2312"/>
          <w:color w:val="000000"/>
          <w:sz w:val="24"/>
        </w:rPr>
        <w:t>数据来自教育部官方网站</w:t>
      </w:r>
      <w:r>
        <w:rPr>
          <w:rFonts w:ascii="仿宋_GB2312" w:hAnsi="仿宋" w:eastAsia="仿宋_GB2312"/>
          <w:color w:val="000000"/>
          <w:sz w:val="24"/>
        </w:rPr>
        <w:t>2016</w:t>
      </w:r>
      <w:r>
        <w:rPr>
          <w:rFonts w:hint="eastAsia" w:ascii="仿宋_GB2312" w:hAnsi="仿宋" w:eastAsia="仿宋_GB2312"/>
          <w:color w:val="000000"/>
          <w:sz w:val="24"/>
        </w:rPr>
        <w:t>年</w:t>
      </w:r>
      <w:r>
        <w:rPr>
          <w:rFonts w:ascii="仿宋_GB2312" w:hAnsi="仿宋" w:eastAsia="仿宋_GB2312"/>
          <w:color w:val="000000"/>
          <w:sz w:val="24"/>
        </w:rPr>
        <w:t>6</w:t>
      </w:r>
      <w:r>
        <w:rPr>
          <w:rFonts w:hint="eastAsia" w:ascii="仿宋_GB2312" w:hAnsi="仿宋" w:eastAsia="仿宋_GB2312"/>
          <w:color w:val="000000"/>
          <w:sz w:val="24"/>
        </w:rPr>
        <w:t>月</w:t>
      </w:r>
      <w:r>
        <w:rPr>
          <w:rFonts w:ascii="仿宋_GB2312" w:hAnsi="仿宋" w:eastAsia="仿宋_GB2312"/>
          <w:color w:val="000000"/>
          <w:sz w:val="24"/>
        </w:rPr>
        <w:t>3</w:t>
      </w:r>
      <w:r>
        <w:rPr>
          <w:rFonts w:hint="eastAsia" w:ascii="仿宋_GB2312" w:hAnsi="仿宋" w:eastAsia="仿宋_GB2312"/>
          <w:color w:val="000000"/>
          <w:sz w:val="24"/>
        </w:rPr>
        <w:t>日公布的全国普通高校名单（含</w:t>
      </w:r>
    </w:p>
    <w:p>
      <w:pPr>
        <w:snapToGrid w:val="0"/>
        <w:spacing w:line="340" w:lineRule="exac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000000"/>
          <w:sz w:val="24"/>
        </w:rPr>
        <w:t>独立学院和民办普通高校）。</w:t>
      </w:r>
    </w:p>
    <w:p>
      <w:pPr>
        <w:numPr>
          <w:ilvl w:val="0"/>
          <w:numId w:val="1"/>
        </w:numPr>
        <w:snapToGrid w:val="0"/>
        <w:spacing w:line="340" w:lineRule="exact"/>
        <w:ind w:firstLine="31680" w:firstLineChars="20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所有项目按高校数分为以下</w:t>
      </w:r>
      <w:r>
        <w:rPr>
          <w:rFonts w:ascii="仿宋_GB2312" w:hAnsi="仿宋" w:eastAsia="仿宋_GB2312"/>
          <w:color w:val="000000"/>
          <w:sz w:val="24"/>
        </w:rPr>
        <w:t>8</w:t>
      </w:r>
      <w:r>
        <w:rPr>
          <w:rFonts w:hint="eastAsia" w:ascii="仿宋_GB2312" w:hAnsi="仿宋" w:eastAsia="仿宋_GB2312"/>
          <w:color w:val="000000"/>
          <w:sz w:val="24"/>
        </w:rPr>
        <w:t>个数段测算上报数，</w:t>
      </w:r>
      <w:r>
        <w:rPr>
          <w:rFonts w:ascii="仿宋_GB2312" w:hAnsi="仿宋" w:eastAsia="仿宋_GB2312"/>
          <w:color w:val="000000"/>
          <w:sz w:val="24"/>
        </w:rPr>
        <w:t>8</w:t>
      </w:r>
      <w:r>
        <w:rPr>
          <w:rFonts w:hint="eastAsia" w:ascii="仿宋_GB2312" w:hAnsi="仿宋" w:eastAsia="仿宋_GB2312"/>
          <w:color w:val="000000"/>
          <w:sz w:val="24"/>
        </w:rPr>
        <w:t>个数段为：</w:t>
      </w:r>
      <w:r>
        <w:rPr>
          <w:rFonts w:ascii="仿宋_GB2312" w:hAnsi="仿宋" w:eastAsia="仿宋_GB2312"/>
          <w:color w:val="000000"/>
          <w:sz w:val="24"/>
        </w:rPr>
        <w:t>20</w:t>
      </w:r>
      <w:r>
        <w:rPr>
          <w:rFonts w:hint="eastAsia" w:ascii="仿宋_GB2312" w:hAnsi="仿宋" w:eastAsia="仿宋_GB2312"/>
          <w:color w:val="000000"/>
          <w:sz w:val="24"/>
        </w:rPr>
        <w:t>所以下，</w:t>
      </w:r>
    </w:p>
    <w:p>
      <w:pPr>
        <w:snapToGrid w:val="0"/>
        <w:spacing w:line="340" w:lineRule="exac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 xml:space="preserve">       </w:t>
      </w:r>
      <w:r>
        <w:rPr>
          <w:rFonts w:ascii="仿宋_GB2312" w:hAnsi="仿宋" w:eastAsia="仿宋_GB2312"/>
          <w:color w:val="000000"/>
          <w:sz w:val="24"/>
        </w:rPr>
        <w:t>21-40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41-60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61-80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81-100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101-120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121-140</w:t>
      </w:r>
      <w:r>
        <w:rPr>
          <w:rFonts w:hint="eastAsia" w:ascii="仿宋_GB2312" w:hAnsi="仿宋" w:eastAsia="仿宋_GB2312"/>
          <w:color w:val="000000"/>
          <w:sz w:val="24"/>
        </w:rPr>
        <w:t>所，</w:t>
      </w:r>
      <w:r>
        <w:rPr>
          <w:rFonts w:ascii="仿宋_GB2312" w:hAnsi="仿宋" w:eastAsia="仿宋_GB2312"/>
          <w:color w:val="000000"/>
          <w:sz w:val="24"/>
        </w:rPr>
        <w:t>140</w:t>
      </w:r>
    </w:p>
    <w:p>
      <w:pPr>
        <w:snapToGrid w:val="0"/>
        <w:spacing w:line="340" w:lineRule="exact"/>
      </w:pP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000000"/>
          <w:sz w:val="24"/>
        </w:rPr>
        <w:t>所以上。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FB87"/>
    <w:multiLevelType w:val="singleLevel"/>
    <w:tmpl w:val="57A2FB87"/>
    <w:lvl w:ilvl="0" w:tentative="0">
      <w:start w:val="2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5528"/>
    <w:rsid w:val="46E655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2016-09-20T07:15:00Z</dcterms:created>
  <dc:creator>dell</dc:creator>
  <cp:lastModifiedBy>dell</cp:lastModifiedBy>
  <dcterms:modified xsi:type="dcterms:W3CDTF">2016-09-20T07:18:41Z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