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bookmarkStart w:id="0" w:name="_GoBack"/>
      <w:bookmarkEnd w:id="0"/>
      <w:r>
        <w:rPr>
          <w:rFonts w:hint="eastAsia" w:ascii="仿宋_GB2312" w:hAnsi="仿宋" w:eastAsia="仿宋_GB2312"/>
          <w:color w:val="000000"/>
          <w:sz w:val="32"/>
          <w:szCs w:val="32"/>
        </w:rPr>
        <w:t>附件</w:t>
      </w:r>
      <w:r>
        <w:rPr>
          <w:rFonts w:ascii="仿宋_GB2312" w:hAnsi="仿宋" w:eastAsia="仿宋_GB2312"/>
          <w:color w:val="000000"/>
          <w:sz w:val="32"/>
          <w:szCs w:val="32"/>
        </w:rPr>
        <w:t>2</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jc w:val="center"/>
        <w:textAlignment w:val="auto"/>
        <w:outlineLvl w:val="9"/>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全国第五届大学生艺术展演活动</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jc w:val="center"/>
        <w:textAlignment w:val="auto"/>
        <w:outlineLvl w:val="9"/>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大学生艺术实践工作坊方案</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黑体" w:eastAsia="黑体"/>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为丰富展演活动内容和形式，经研究，决定在本届展演活动艺术作品展览期间，举办大学生艺术实践工作坊。大学生艺术实践工作坊是一项集体性、参与性、互动性、体验性的视觉艺术创作实践项目。</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黑体" w:hAnsi="黑体" w:eastAsia="黑体" w:cs="黑体"/>
          <w:bCs/>
          <w:color w:val="000000"/>
          <w:sz w:val="30"/>
          <w:szCs w:val="30"/>
        </w:rPr>
      </w:pPr>
      <w:r>
        <w:rPr>
          <w:rFonts w:hint="eastAsia" w:ascii="黑体" w:hAnsi="黑体" w:eastAsia="黑体" w:cs="黑体"/>
          <w:bCs/>
          <w:color w:val="000000"/>
          <w:sz w:val="30"/>
          <w:szCs w:val="30"/>
        </w:rPr>
        <w:t>一、工作坊主题</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本届大学生艺术实践工作坊的主题是艺术的</w:t>
      </w:r>
      <w:r>
        <w:rPr>
          <w:rFonts w:ascii="仿宋_GB2312" w:eastAsia="仿宋_GB2312"/>
          <w:color w:val="000000"/>
          <w:sz w:val="30"/>
          <w:szCs w:val="30"/>
        </w:rPr>
        <w:t>“</w:t>
      </w:r>
      <w:r>
        <w:rPr>
          <w:rFonts w:hint="eastAsia" w:ascii="仿宋_GB2312" w:eastAsia="仿宋_GB2312"/>
          <w:color w:val="000000"/>
          <w:sz w:val="30"/>
          <w:szCs w:val="30"/>
        </w:rPr>
        <w:t>创意与创新</w:t>
      </w:r>
      <w:r>
        <w:rPr>
          <w:rFonts w:ascii="仿宋_GB2312" w:eastAsia="仿宋_GB2312"/>
          <w:color w:val="000000"/>
          <w:sz w:val="30"/>
          <w:szCs w:val="30"/>
        </w:rPr>
        <w:t>”</w:t>
      </w:r>
      <w:r>
        <w:rPr>
          <w:rFonts w:hint="eastAsia" w:ascii="仿宋_GB2312" w:eastAsia="仿宋_GB2312"/>
          <w:color w:val="000000"/>
          <w:sz w:val="30"/>
          <w:szCs w:val="30"/>
        </w:rPr>
        <w:t>。工作坊鼓励高校艺术教育关注创意、参与创新、享受创造，为高校艺术教育的创新成果和学生的创意理念转化为现场展示和现实产品搭建平台，实现艺术引领创新，创新引领创业，拓展高校众创空间和加强高校创客文化的建设。</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黑体" w:hAnsi="黑体" w:eastAsia="黑体" w:cs="黑体"/>
          <w:bCs/>
          <w:color w:val="000000"/>
          <w:sz w:val="30"/>
          <w:szCs w:val="30"/>
        </w:rPr>
      </w:pPr>
      <w:r>
        <w:rPr>
          <w:rFonts w:hint="eastAsia" w:ascii="黑体" w:hAnsi="黑体" w:eastAsia="黑体" w:cs="黑体"/>
          <w:bCs/>
          <w:color w:val="000000"/>
          <w:sz w:val="30"/>
          <w:szCs w:val="30"/>
        </w:rPr>
        <w:t>二、工作坊内容</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color w:val="000000"/>
          <w:sz w:val="30"/>
          <w:szCs w:val="30"/>
        </w:rPr>
      </w:pPr>
      <w:r>
        <w:rPr>
          <w:rFonts w:hint="eastAsia" w:ascii="仿宋_GB2312" w:hAnsi="仿宋_GB2312" w:eastAsia="仿宋_GB2312" w:cs="仿宋_GB2312"/>
          <w:color w:val="000000"/>
          <w:sz w:val="30"/>
          <w:szCs w:val="30"/>
        </w:rPr>
        <w:t>工作坊围绕“艺术与校园”、“艺术与生活”、“艺术与科技”三个项目开展活动</w:t>
      </w:r>
      <w:r>
        <w:rPr>
          <w:rFonts w:hint="eastAsia" w:ascii="仿宋_GB2312" w:hAnsi="仿宋_GB2312" w:eastAsia="仿宋_GB2312" w:cs="仿宋_GB2312"/>
          <w:color w:val="000000"/>
          <w:sz w:val="30"/>
          <w:szCs w:val="30"/>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（一）艺术与校园。体现艺术美丽校园的理念，展示艺术与校园谐合，引领大中小学校的审美品味，塑造良好形象的创意创新实践，如橱窗、走廊、教室环境创设、校服设计、学习用品、用具设计等。</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（二）艺术与生活。体现艺术美好生活的理念，展示艺术与生活结合，丰富日常生活趣味，提高日常生活品质的创意创新实践，如日用品、装饰品等的设计制作。</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（三）艺术与科技。体现艺术美化科技的理念，展示艺术与科技融合，促进科技艺术化，提升科技美感的创意创新实践，如艺术对设计、工艺、材料等的影响和体现。</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黑体" w:hAnsi="黑体" w:eastAsia="黑体" w:cs="黑体"/>
          <w:bCs/>
          <w:color w:val="000000"/>
          <w:sz w:val="30"/>
          <w:szCs w:val="30"/>
        </w:rPr>
      </w:pPr>
      <w:r>
        <w:rPr>
          <w:rFonts w:hint="eastAsia" w:ascii="黑体" w:hAnsi="黑体" w:eastAsia="黑体" w:cs="黑体"/>
          <w:bCs/>
          <w:color w:val="000000"/>
          <w:sz w:val="30"/>
          <w:szCs w:val="30"/>
        </w:rPr>
        <w:t>三、相关要求</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（一）申报办法。由各省级教育行政部门在本省（区、市）组织评选的基础上推荐工作坊上报全国组委会。申报材料包括工作坊项目方案文稿和反映工作坊项目的现场实践视频（时长不超过</w:t>
      </w:r>
      <w:r>
        <w:rPr>
          <w:rFonts w:eastAsia="仿宋_GB2312"/>
          <w:sz w:val="30"/>
          <w:szCs w:val="30"/>
        </w:rPr>
        <w:t>8</w:t>
      </w:r>
      <w:r>
        <w:rPr>
          <w:rFonts w:hint="eastAsia" w:ascii="仿宋_GB2312" w:hAnsi="仿宋_GB2312" w:eastAsia="仿宋_GB2312" w:cs="仿宋_GB2312"/>
          <w:color w:val="000000"/>
          <w:sz w:val="30"/>
          <w:szCs w:val="30"/>
        </w:rPr>
        <w:t>分钟，刻录成</w:t>
      </w:r>
      <w:r>
        <w:rPr>
          <w:rFonts w:eastAsia="仿宋_GB2312"/>
          <w:sz w:val="30"/>
          <w:szCs w:val="30"/>
        </w:rPr>
        <w:t>DVD</w:t>
      </w:r>
      <w:r>
        <w:rPr>
          <w:rFonts w:hint="eastAsia" w:ascii="仿宋_GB2312" w:hAnsi="仿宋_GB2312" w:eastAsia="仿宋_GB2312" w:cs="仿宋_GB2312"/>
          <w:color w:val="000000"/>
          <w:sz w:val="30"/>
          <w:szCs w:val="30"/>
        </w:rPr>
        <w:t>数据盘，采用</w:t>
      </w:r>
      <w:r>
        <w:rPr>
          <w:rFonts w:eastAsia="仿宋_GB2312"/>
          <w:sz w:val="30"/>
          <w:szCs w:val="30"/>
        </w:rPr>
        <w:t>MPG2</w:t>
      </w:r>
      <w:r>
        <w:rPr>
          <w:rFonts w:hint="eastAsia" w:ascii="仿宋_GB2312" w:hAnsi="仿宋_GB2312" w:eastAsia="仿宋_GB2312" w:cs="仿宋_GB2312"/>
          <w:color w:val="000000"/>
          <w:sz w:val="30"/>
          <w:szCs w:val="30"/>
        </w:rPr>
        <w:t>格式）。</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（二）组队与人员要求。以高校为单位组队，一队一坊，每队参展人数为</w:t>
      </w:r>
      <w:r>
        <w:rPr>
          <w:rFonts w:eastAsia="仿宋_GB2312"/>
          <w:sz w:val="30"/>
          <w:szCs w:val="30"/>
        </w:rPr>
        <w:t>10</w:t>
      </w:r>
      <w:r>
        <w:rPr>
          <w:rFonts w:hint="eastAsia" w:ascii="仿宋_GB2312" w:hAnsi="仿宋_GB2312" w:eastAsia="仿宋_GB2312" w:cs="仿宋_GB2312"/>
          <w:color w:val="000000"/>
          <w:sz w:val="30"/>
          <w:szCs w:val="30"/>
        </w:rPr>
        <w:t>人，其中学生</w:t>
      </w:r>
      <w:r>
        <w:rPr>
          <w:rFonts w:eastAsia="仿宋_GB2312"/>
          <w:sz w:val="30"/>
          <w:szCs w:val="30"/>
        </w:rPr>
        <w:t>6-8</w:t>
      </w:r>
      <w:r>
        <w:rPr>
          <w:rFonts w:hint="eastAsia" w:ascii="仿宋_GB2312" w:hAnsi="仿宋_GB2312" w:eastAsia="仿宋_GB2312" w:cs="仿宋_GB2312"/>
          <w:color w:val="000000"/>
          <w:sz w:val="30"/>
          <w:szCs w:val="30"/>
        </w:rPr>
        <w:t>人，指导教师</w:t>
      </w:r>
      <w:r>
        <w:rPr>
          <w:rFonts w:eastAsia="仿宋_GB2312"/>
          <w:sz w:val="30"/>
          <w:szCs w:val="30"/>
        </w:rPr>
        <w:t>1-3</w:t>
      </w:r>
      <w:r>
        <w:rPr>
          <w:rFonts w:hint="eastAsia" w:ascii="仿宋_GB2312" w:hAnsi="仿宋_GB2312" w:eastAsia="仿宋_GB2312" w:cs="仿宋_GB2312"/>
          <w:color w:val="000000"/>
          <w:sz w:val="30"/>
          <w:szCs w:val="30"/>
        </w:rPr>
        <w:t>人。</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firstLine="31680" w:firstLineChars="200"/>
        <w:textAlignment w:val="auto"/>
        <w:outlineLvl w:val="9"/>
      </w:pPr>
      <w:r>
        <w:rPr>
          <w:rFonts w:hint="eastAsia" w:ascii="仿宋_GB2312" w:hAnsi="仿宋_GB2312" w:eastAsia="仿宋_GB2312" w:cs="仿宋_GB2312"/>
          <w:color w:val="000000"/>
          <w:sz w:val="30"/>
          <w:szCs w:val="30"/>
        </w:rPr>
        <w:t>（三）展示方式。现场展示由上海市统一提供展位和基础平台。每个展位尺寸约为</w:t>
      </w:r>
      <w:r>
        <w:rPr>
          <w:rFonts w:eastAsia="仿宋_GB2312"/>
          <w:sz w:val="30"/>
          <w:szCs w:val="30"/>
        </w:rPr>
        <w:t>6</w:t>
      </w:r>
      <w:r>
        <w:rPr>
          <w:rFonts w:hint="eastAsia" w:ascii="仿宋_GB2312" w:hAnsi="仿宋_GB2312" w:eastAsia="仿宋_GB2312" w:cs="仿宋_GB2312"/>
          <w:sz w:val="30"/>
          <w:szCs w:val="30"/>
        </w:rPr>
        <w:t>米</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长</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w:t>
      </w:r>
      <w:r>
        <w:rPr>
          <w:rFonts w:eastAsia="仿宋_GB2312"/>
          <w:sz w:val="30"/>
          <w:szCs w:val="30"/>
        </w:rPr>
        <w:t>4</w:t>
      </w:r>
      <w:r>
        <w:rPr>
          <w:rFonts w:hint="eastAsia" w:ascii="仿宋_GB2312" w:hAnsi="仿宋_GB2312" w:eastAsia="仿宋_GB2312" w:cs="仿宋_GB2312"/>
          <w:sz w:val="30"/>
          <w:szCs w:val="30"/>
        </w:rPr>
        <w:t>米</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宽</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w:t>
      </w:r>
      <w:r>
        <w:rPr>
          <w:rFonts w:eastAsia="仿宋_GB2312"/>
          <w:sz w:val="30"/>
          <w:szCs w:val="30"/>
        </w:rPr>
        <w:t>2.5</w:t>
      </w:r>
      <w:r>
        <w:rPr>
          <w:rFonts w:hint="eastAsia" w:ascii="仿宋_GB2312" w:hAnsi="仿宋_GB2312" w:eastAsia="仿宋_GB2312" w:cs="仿宋_GB2312"/>
          <w:sz w:val="30"/>
          <w:szCs w:val="30"/>
        </w:rPr>
        <w:t>米</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高</w:t>
      </w:r>
      <w:r>
        <w:rPr>
          <w:rFonts w:ascii="仿宋_GB2312" w:hAnsi="仿宋_GB2312" w:eastAsia="仿宋_GB2312" w:cs="仿宋_GB2312"/>
          <w:sz w:val="30"/>
          <w:szCs w:val="30"/>
        </w:rPr>
        <w:t>)</w:t>
      </w:r>
      <w:r>
        <w:rPr>
          <w:rFonts w:hint="eastAsia" w:ascii="仿宋_GB2312" w:hAnsi="仿宋_GB2312" w:eastAsia="仿宋_GB2312" w:cs="仿宋_GB2312"/>
          <w:color w:val="000000"/>
          <w:sz w:val="30"/>
          <w:szCs w:val="30"/>
        </w:rPr>
        <w:t>，展位内的平台包括数量一定的展台、操作台和座椅组合，展位和平台的具体布置由各参展队伍负责，具体要求另行通知。</w:t>
      </w:r>
    </w:p>
    <w:sectPr>
      <w:footerReference r:id="rId3" w:type="default"/>
      <w:pgSz w:w="11906" w:h="16838"/>
      <w:pgMar w:top="1440" w:right="1701"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03BE6"/>
    <w:rsid w:val="04903B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2016-09-20T07:16:00Z</dcterms:created>
  <dc:creator>dell</dc:creator>
  <cp:lastModifiedBy>dell</cp:lastModifiedBy>
  <dcterms:modified xsi:type="dcterms:W3CDTF">2016-09-20T07:18:25Z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